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BCB3" w14:textId="4EA73D46" w:rsidR="00B67F27" w:rsidRDefault="00B67F27">
      <w:r>
        <w:rPr>
          <w:noProof/>
        </w:rPr>
        <w:drawing>
          <wp:anchor distT="0" distB="0" distL="114300" distR="114300" simplePos="0" relativeHeight="251658240" behindDoc="0" locked="0" layoutInCell="1" allowOverlap="1" wp14:anchorId="352BC042" wp14:editId="697664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32921" cy="9376012"/>
            <wp:effectExtent l="0" t="0" r="5715" b="0"/>
            <wp:wrapTopAndBottom/>
            <wp:docPr id="1807066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66018" name="Рисунок 18070660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921" cy="937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5FB8F" w14:textId="4D410759" w:rsidR="00394846" w:rsidRPr="00B67F27" w:rsidRDefault="00B67F27">
      <w:pPr>
        <w:rPr>
          <w:b/>
          <w:bCs/>
          <w:sz w:val="28"/>
          <w:szCs w:val="28"/>
        </w:rPr>
      </w:pPr>
      <w:r w:rsidRPr="00B67F27">
        <w:rPr>
          <w:b/>
          <w:bCs/>
          <w:sz w:val="28"/>
          <w:szCs w:val="28"/>
        </w:rPr>
        <w:t>Павлов Е. «Серебряная сфера» открывает двери /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Е.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Павлов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// Российская провинция.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– 2023.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– 27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апреля.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– С.</w:t>
      </w:r>
      <w:r>
        <w:rPr>
          <w:b/>
          <w:bCs/>
          <w:sz w:val="28"/>
          <w:szCs w:val="28"/>
        </w:rPr>
        <w:t> </w:t>
      </w:r>
      <w:r w:rsidRPr="00B67F27">
        <w:rPr>
          <w:b/>
          <w:bCs/>
          <w:sz w:val="28"/>
          <w:szCs w:val="28"/>
        </w:rPr>
        <w:t>2.</w:t>
      </w:r>
    </w:p>
    <w:sectPr w:rsidR="00394846" w:rsidRPr="00B67F27" w:rsidSect="00B67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52"/>
    <w:rsid w:val="001529FE"/>
    <w:rsid w:val="00394846"/>
    <w:rsid w:val="00B67F27"/>
    <w:rsid w:val="00D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68C3"/>
  <w15:chartTrackingRefBased/>
  <w15:docId w15:val="{3FE4732C-7B88-4747-B7D3-87E58962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EF11-C63C-4B4C-9799-6E4B64D5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2023-06-14T04:30:00Z</dcterms:created>
  <dcterms:modified xsi:type="dcterms:W3CDTF">2023-06-14T04:33:00Z</dcterms:modified>
</cp:coreProperties>
</file>